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Køb en Fluke termisk kamera* og få ET GRATIS objektiv</w:t>
      </w:r>
      <w:r>
        <w:rPr>
          <w:rFonts w:ascii="Times New Roman" w:hAnsi="Times New Roman"/>
          <w:sz w:val="20"/>
          <w:szCs w:val="20"/>
        </w:rPr>
        <w:t xml:space="preserve"> [FLK-LENS/TELE2 Telephoto Infrared Lens-4335350 eller FLK-LENS/WIDE2 Wide-angle Infrared Lens-4335361]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Sådan modtager du dit gratis objektiv fra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Køb et hvilket som helst kvalificeret Fluke Thermal Imager-produkt mellem 16. december 2020 og 12. februar 2021. Kvalificerede Fluke Thermal Imager-produkter er:  Fluke Ti300+, Fluke 401Pro, Fluke 480Pro, Fluke TiX501 og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Køb skal foretages fra en autoriseret Fluke-distributør med base i Storbritannien, EU, Mellemøsten og Afrika (med undtagelse af Rusland, SNG og Tyrkiet).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Salgsbevis i form af en enkelt kvittering eller faktura er påkrævet. </w:t>
      </w:r>
      <w:bookmarkStart w:id="0" w:name="_Hlk29220021"/>
      <w:r>
        <w:rPr>
          <w:rFonts w:ascii="Times New Roman" w:hAnsi="Times New Roman"/>
          <w:sz w:val="20"/>
          <w:szCs w:val="20"/>
        </w:rPr>
        <w:t>Følgesedler, købsordrer/ordrebekræftelser accepteres ikke som købsbevis.</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Andre produkter end de kvalificerede produkter er IKKE berettiget til denne kampagne.</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Hvis dette var et onlinekøb, kræves der leveringsbevis, der angiver leveringsvirksomhed, leveringsdato og elektronisk trackingnummer.</w:t>
      </w:r>
    </w:p>
    <w:p w14:paraId="3061595A" w14:textId="208CC39D" w:rsidR="00A4257D" w:rsidRDefault="00B90D1B" w:rsidP="00A4257D">
      <w:pPr>
        <w:spacing w:after="0" w:line="276" w:lineRule="auto"/>
        <w:ind w:firstLine="630"/>
        <w:jc w:val="both"/>
        <w:rPr>
          <w:rFonts w:ascii="Times New Roman" w:hAnsi="Times New Roman"/>
          <w:sz w:val="20"/>
          <w:szCs w:val="20"/>
        </w:rPr>
      </w:pPr>
      <w:r>
        <w:rPr>
          <w:rFonts w:ascii="Times New Roman" w:hAnsi="Times New Roman"/>
          <w:sz w:val="20"/>
          <w:szCs w:val="20"/>
        </w:rPr>
        <w:t>Indløs dit gratis Fluke-objektiv online! Gå til:</w:t>
      </w:r>
      <w:r w:rsidR="00A4257D">
        <w:rPr>
          <w:rFonts w:ascii="Times New Roman" w:hAnsi="Times New Roman"/>
          <w:sz w:val="20"/>
          <w:szCs w:val="20"/>
        </w:rPr>
        <w:t xml:space="preserve"> </w:t>
      </w:r>
      <w:hyperlink r:id="rId11" w:history="1">
        <w:r w:rsidR="00A4257D" w:rsidRPr="00AD1CA8">
          <w:rPr>
            <w:rStyle w:val="Hyperlink"/>
            <w:rFonts w:ascii="Times New Roman" w:hAnsi="Times New Roman"/>
            <w:sz w:val="20"/>
            <w:szCs w:val="20"/>
          </w:rPr>
          <w:t>www.fluke.dk/freelens</w:t>
        </w:r>
      </w:hyperlink>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Modtag og brug dit nye objektiv fra Fluke.</w:t>
      </w:r>
    </w:p>
    <w:p w14:paraId="7A5DE72D" w14:textId="46E99E2A" w:rsidR="008E5133" w:rsidRDefault="00B90D1B">
      <w:pPr>
        <w:ind w:left="270"/>
        <w:rPr>
          <w:rFonts w:ascii="Times New Roman" w:hAnsi="Times New Roman"/>
          <w:sz w:val="20"/>
          <w:szCs w:val="20"/>
        </w:rPr>
      </w:pPr>
      <w:r>
        <w:rPr>
          <w:rFonts w:ascii="Times New Roman" w:hAnsi="Times New Roman"/>
          <w:sz w:val="20"/>
          <w:szCs w:val="20"/>
        </w:rPr>
        <w:t>*Yderligere vilkår og betingelser er gældende. Når du deltager i denne kampagne, accepterer du vilkårene og betingelserne.  Se vilkårene og betingelserne på</w:t>
      </w:r>
      <w:r w:rsidR="00A4257D">
        <w:rPr>
          <w:rFonts w:ascii="Times New Roman" w:hAnsi="Times New Roman"/>
          <w:sz w:val="20"/>
          <w:szCs w:val="20"/>
        </w:rPr>
        <w:t xml:space="preserve"> </w:t>
      </w:r>
      <w:hyperlink r:id="rId12" w:history="1">
        <w:r w:rsidR="00A4257D" w:rsidRPr="00AD1CA8">
          <w:rPr>
            <w:rStyle w:val="Hyperlink"/>
            <w:rFonts w:ascii="Times New Roman" w:hAnsi="Times New Roman"/>
            <w:sz w:val="20"/>
            <w:szCs w:val="20"/>
          </w:rPr>
          <w:t>www.fluke.dk/freelens</w:t>
        </w:r>
      </w:hyperlink>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betingelser</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Beskrivelse af kampagne</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Som en del af denne kampagne ("</w:t>
      </w:r>
      <w:r>
        <w:rPr>
          <w:rFonts w:ascii="Times New Roman" w:hAnsi="Times New Roman"/>
          <w:sz w:val="20"/>
          <w:szCs w:val="20"/>
          <w:u w:val="single"/>
        </w:rPr>
        <w:t>Kampagnen</w:t>
      </w:r>
      <w:r>
        <w:rPr>
          <w:rFonts w:ascii="Times New Roman" w:hAnsi="Times New Roman"/>
          <w:sz w:val="20"/>
          <w:szCs w:val="20"/>
        </w:rPr>
        <w:t>”) er berettigede slutbrugerkunder i kampagneperioden (defineret i afsnit 3 nedenfor), der opfylder alle kravene i disse vilkår og betingelser for kampagnen, berettiget til at modtage et Fluke-objektiv, som beskrevet nedenfor. I henhold til kampagnen er berettigede slutbrugerkunder hos Fluke Europe B.V. eller dets tilknyttede juridiske enheder (“</w:t>
      </w:r>
      <w:r>
        <w:rPr>
          <w:rFonts w:ascii="Times New Roman" w:hAnsi="Times New Roman"/>
          <w:sz w:val="20"/>
          <w:szCs w:val="20"/>
          <w:u w:val="single"/>
        </w:rPr>
        <w:t>Sponsor</w:t>
      </w:r>
      <w:r>
        <w:rPr>
          <w:rFonts w:ascii="Times New Roman" w:hAnsi="Times New Roman"/>
          <w:sz w:val="20"/>
          <w:szCs w:val="20"/>
        </w:rPr>
        <w:t>”), der i hvert enkelt tilfælde handler under Flukes mærke, berettigede til at modtage et Fluke-objektiv efter eget valg fra: (</w:t>
      </w:r>
      <w:r>
        <w:t>i) FLK-LENS/TELE2 Telephoto Infrared Lens-4335350 eller FLK-LENS/WIDE2 Wide-angle Infrared Lens-4335361</w:t>
      </w:r>
      <w:r>
        <w:rPr>
          <w:rFonts w:ascii="Times New Roman" w:hAnsi="Times New Roman"/>
          <w:sz w:val="20"/>
          <w:szCs w:val="20"/>
        </w:rPr>
        <w:t xml:space="preserve"> (“</w:t>
      </w:r>
      <w:r>
        <w:rPr>
          <w:rFonts w:ascii="Times New Roman" w:hAnsi="Times New Roman"/>
          <w:sz w:val="20"/>
          <w:szCs w:val="20"/>
          <w:u w:val="single"/>
        </w:rPr>
        <w:t>Gave</w:t>
      </w:r>
      <w:r>
        <w:rPr>
          <w:rFonts w:ascii="Times New Roman" w:hAnsi="Times New Roman"/>
          <w:sz w:val="20"/>
          <w:szCs w:val="20"/>
        </w:rPr>
        <w:t>”), ved køb af kvalificeret/kvalificerede Fluke produkt(er) som anført nedenfor:</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“Fluke-produkter" betyder et eller flere af følgende Fluk</w:t>
      </w:r>
      <w:r>
        <w:rPr>
          <w:rFonts w:ascii="Times New Roman" w:hAnsi="Times New Roman"/>
          <w:sz w:val="20"/>
          <w:szCs w:val="20"/>
        </w:rPr>
        <w:t xml:space="preserve">e-produkt(er) som anført nedenfor: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61"/>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Beskrivelse</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Produktnummer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termisk kamera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termisk kamera 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termisk kamera ; 640x480;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termisk kamera; 640x480;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infrarødt kamera; 320x240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infrarødt kamera; 320x240;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termisk kamera; 640x480;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termisk kamera; 640x480;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Infrarødt kamera;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Infrarødt kamera;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Specifikt udelukker dette alle andre Fluke-produkter, herunder, men ikke begrænset til, Fluke IG-produkter, der ikke er anført ovenfor, og produkter fra Fluke Calibration, Fluke Networks, Fluke Biomedical, Beha-Amprobe, Pomona, Comark, eMaint-software og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Berettigelse og kampagneperiode</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 forbindelse med denne kampagne skal en kunde være slutbruger med bopæl i Storbritannien, EU, Mellemøsten og Afrika (med undtagelse af Rusland, SNG og Tyrkiet).  For at være berettiget til denne kampagne skal en kunde købe et Fluke-produkt i kampagneperioden, der starter kl. 00:00 den 16. december 2020 og slutter kl. 23:59 den 12. februar 2021 (“</w:t>
      </w:r>
      <w:r>
        <w:rPr>
          <w:rFonts w:ascii="Times New Roman" w:hAnsi="Times New Roman"/>
          <w:sz w:val="20"/>
          <w:szCs w:val="20"/>
          <w:u w:val="single"/>
        </w:rPr>
        <w:t>kampagneperioden</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Kundens faktura/kvittering skal vise datoen for køb af Fluke-produktet, som skal falde inden for kampagneperioden. Kampagnens officielle tidtagningsenhed udgøres udelukkende af sponsorens computer. Kampagnen er kun gældende for køb, der er foretaget i løbet af kampagneperioden.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Berettigede kunder kan gøre krav på en (1) gave efter eget valg pr. Fluke-produkt blandt de muligheder, der er angivet ovenfor, eller som tilbydes som et alternativ til kunden fra tid til anden, svarende til den nettopris, som kunden betaler for de kvalificerede Fluke-produkter til denne kampagne på tidspunktet for køb af Fluke-produkterne i kampagneperioden </w:t>
      </w:r>
      <w:bookmarkStart w:id="1" w:name="_Hlk51077355"/>
      <w:r>
        <w:rPr>
          <w:rFonts w:ascii="Times New Roman" w:hAnsi="Times New Roman"/>
          <w:sz w:val="20"/>
          <w:szCs w:val="20"/>
        </w:rPr>
        <w:t>(eksklusive moms og andre omsætningsafgifter, forsendelse/håndtering og andre tillæg).</w:t>
      </w:r>
      <w:bookmarkEnd w:id="1"/>
      <w:r>
        <w:rPr>
          <w:rFonts w:ascii="Times New Roman" w:hAnsi="Times New Roman"/>
          <w:sz w:val="20"/>
          <w:szCs w:val="20"/>
        </w:rPr>
        <w:t xml:space="preserve"> Hvis der på fakturaerne er anført andre produkter ud over Fluke-produktet/produkterne, vil kun beløbene vedrørende Fluke-produkterne på sådanne fakturaer blive taget i betragtning ved vurderingen af gavens berettigelse.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Instruktioner om, hvordan man deltager i kampagnen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Alle berettigede kunder skal følge processen som beskrevet nedenfor for at modtage gaven: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646FBDDB" w14:textId="47BE7DAC" w:rsidR="00A4257D" w:rsidRPr="00A4257D" w:rsidRDefault="00B90D1B" w:rsidP="00A4257D">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bør registrere et krav via kampagnens online registreringsformular på </w:t>
      </w:r>
      <w:hyperlink r:id="rId13" w:history="1">
        <w:r w:rsidR="00A4257D" w:rsidRPr="00AD1CA8">
          <w:rPr>
            <w:rStyle w:val="Hyperlink"/>
            <w:rFonts w:ascii="Times New Roman" w:hAnsi="Times New Roman"/>
            <w:sz w:val="20"/>
            <w:szCs w:val="20"/>
          </w:rPr>
          <w:t>www.fluke.dk/freelens</w:t>
        </w:r>
      </w:hyperlink>
      <w:r w:rsidRPr="00A4257D">
        <w:rPr>
          <w:rFonts w:ascii="Times New Roman" w:hAnsi="Times New Roman"/>
          <w:sz w:val="20"/>
          <w:szCs w:val="20"/>
        </w:rPr>
        <w:t>.</w:t>
      </w:r>
    </w:p>
    <w:p w14:paraId="5DC95A14" w14:textId="3FD151A7" w:rsidR="008E5133" w:rsidRPr="00A4257D" w:rsidRDefault="00B90D1B" w:rsidP="00A4257D">
      <w:pPr>
        <w:pStyle w:val="ListParagraph"/>
        <w:spacing w:after="0" w:line="276" w:lineRule="auto"/>
        <w:ind w:left="993"/>
        <w:contextualSpacing w:val="0"/>
        <w:jc w:val="both"/>
        <w:rPr>
          <w:rFonts w:ascii="Times New Roman" w:hAnsi="Times New Roman" w:cs="Times New Roman"/>
          <w:sz w:val="20"/>
          <w:szCs w:val="20"/>
        </w:rPr>
      </w:pPr>
      <w:r w:rsidRPr="00A4257D">
        <w:rPr>
          <w:rFonts w:ascii="Times New Roman" w:hAnsi="Times New Roman"/>
          <w:sz w:val="20"/>
          <w:szCs w:val="20"/>
        </w:rPr>
        <w:t xml:space="preserve">Kampagneformularen skal udfyldes fuldstændigt og indsendes sammen med et købsbevis i form af en tydelig, læselig scanning af Fluke-produktets faktura, hvoraf det fremgår at det er købt i løbet af kampagneperioden. Følgesedler, købsordrer/ordrebekræftelser accepteres ikke som købsbevis. Fakturaer med datoer, der ligger uden for kampagneperioden, er ikke gyldige og vil ikke blive taget i betragtning. For at modtage gaven kræves det udover købsbeviset at kundens adresse fremsendes.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Kunderne skal vælge en gave i onlineregistreringsformularen fra de to muligheder i første afsnit ovenfor.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må kun registrere ét (1) krav på gave pr. Fluke-produkt. Fakturaer kan ikke lægges sammen eller bruges mere end én gang.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 accepterer gyldige krav indtil den 15. marts 2021 (</w:t>
      </w:r>
      <w:r>
        <w:rPr>
          <w:rFonts w:ascii="Times New Roman" w:hAnsi="Times New Roman"/>
          <w:sz w:val="20"/>
          <w:szCs w:val="20"/>
          <w:u w:val="single"/>
        </w:rPr>
        <w:t>'tidsfrist for krav'</w:t>
      </w:r>
      <w:r>
        <w:rPr>
          <w:rFonts w:ascii="Times New Roman" w:hAnsi="Times New Roman"/>
          <w:sz w:val="20"/>
          <w:szCs w:val="20"/>
        </w:rPr>
        <w:t>). Krav, der registreres efter denne dato, afvises som ugyldige.</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Sponsoren skal verificere de indsendte skanninger af fakturaer, gavemulighederne og formularerne. I tilfælde af uoverensstemmelser i skemaet, såsom manglende køb af et Fluke-produkt, har Sponsor efter eget skøn ret til at afgøre, om kunden er berettiget til at modtage gaven. Såfremt sponsoren fastslår, at </w:t>
      </w:r>
      <w:r>
        <w:rPr>
          <w:rFonts w:ascii="Times New Roman" w:hAnsi="Times New Roman"/>
          <w:sz w:val="20"/>
          <w:szCs w:val="20"/>
        </w:rPr>
        <w:lastRenderedPageBreak/>
        <w:t>kundens krav ikke opfylder vilkårerne og betingelserne eller på anden måde er uberettiget, bliver kunden informeret herom.</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Sponsoren eller dennes repræsentanter skal ikke senere end 45 dage efter deadline for krav afsende gaven til den adresse, som kunden har angivet.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 tilfælde af manglende modtagelse af den gratis gave, skal kunden informere sponsoren snarest muligt, dog senest 30. april 2021. Krav om manglende modtagelse, der modtages efter denne dato håndteres udelukkende efter sponsors skøn.</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Andre restriktioner og begrænsninger i forbindelse med kampagnen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Denne kampagne er en enkeltstående kampagne, der er ikke gyldig i forbindelse med andre kampagner, tilbud, rabatter eller værdikuponer. Det er ikke muligt at modregne gaven i andre tjenester eller køb eller kombinere den med nogen former for særtilbud, kampagner eller kontrakter.</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 samt alt materiale, der indsendes til sponsoren i forbindelse med kampagnen, er underlagt sponsorens kontrol og revision, som udføres efter egne og ubegrænsede skønsbeføjelser. Sponsoren kan efter egne og ubegrænsede skønsbeføjelser afvise alle typer af materiale, der blev indsendt i forbindelse med kampagnen, som ikke overholder nogen af kravene til disse kampagnevilkår og -betingelser, hvilket kan medføre at kunden diskvalificeres fra at deltage i kampagnen.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Deltagere i denne kampagne, der køber Fluke-produkter for eller på vegne af deres arbejdsgiver, accepterer omgående at levere enhver gave, der tildeles i henhold til denne kampagne med hensyn til sådanne køb, til deres arbejdsgiver og på anmodning at fremlægge dokumentation for en sådan levering. Deltagerne er accepterer desuden at overholde deres arbejdsgivers politik vedrørende modtagelse af gaver.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Medarbejdere, (under)distributører og deres repræsentanter eller agenter, direktører og funktionærer hos Sponsor, deres moderselskaber, tilknyttede selskaber, datterselskaber, distributører, repræsentanter og disse personers nærmeste familier (forældre, søskende, børn og ægtefælle) og personer, der bor i samme husstand (uanset om de er beslægtede eller ej), er ikke berettiget til at deltage i kampagnen. Derudover er ingen ansatte, ledende medarbejdere, bestyrelsesmedlemmer, repræsentanter eller agenter for distributører eller konkurrerende værktøjsproducenter berettigede til at deltage i kampagnen. Denne kampagne finder ikke anvendelse ved lov for de følgende personer: regeringsansatte eller ansatte ved en myndighed eller en offentlig international organisation; personer, der handler i embeds medfør for eller på vegne af en sådan myndighed eller organisation; ansatte i regeringsejede virksomheder eller som er underlagt regeringskontrol; personer, der repræsenterer et politisk parti, partimedlemmer og kandidater. Denne kampagne gælder heller ikke for sundhedspersonale, der er (a) enkeltpersoner (eller enheder) involveret i levering af sundhedsydelser til patienter, eller (b) enkeltpersoner (eller enheder), der køber, leaser, anbefaler, bruger, sørger for køb eller leasing af eller ordinerer sponsorens medicinske produkter eller tjenester på vegne af sundhedspersonale, herunder lægers indkøbsagenter, læger og ledelse inden for indkøbsorganisationer i medicinalindustrien.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Ansvarsfraskrivelse</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Sponsoren og hvert af dennes moderselskaber, datterselskaber og tilknyttede selskaber samt hver af deres respektive bestyrelsesmedlemmer, ledende medarbejdere, professionelle rådgivere, distributører, repræsentanter, ansatte og agenter (samlet benævnt som “</w:t>
      </w:r>
      <w:r>
        <w:rPr>
          <w:rFonts w:ascii="Times New Roman" w:hAnsi="Times New Roman"/>
          <w:sz w:val="20"/>
          <w:szCs w:val="20"/>
          <w:u w:val="single"/>
        </w:rPr>
        <w:t>de ansvarsfriholdte parter</w:t>
      </w:r>
      <w:r>
        <w:rPr>
          <w:rFonts w:ascii="Times New Roman" w:hAnsi="Times New Roman"/>
          <w:sz w:val="20"/>
          <w:szCs w:val="20"/>
        </w:rPr>
        <w:t xml:space="preserve">”) er ikke ansvarlige eller har noget ansvar for: (a) enhver for sent modtaget, mistet, fejlledt, forvansket eller forvrænget eller beskadiget </w:t>
      </w:r>
      <w:r>
        <w:rPr>
          <w:rFonts w:ascii="Times New Roman" w:hAnsi="Times New Roman"/>
          <w:sz w:val="20"/>
          <w:szCs w:val="20"/>
        </w:rPr>
        <w:lastRenderedPageBreak/>
        <w:t xml:space="preserve">meddelelse, transmissioner eller anmodninger om indløsning i forbindelse med kampagnen (b) telefon-, elektroniske-, hardware-, software-, netværks-, internet- eller andre computer- eller kommunikationsrelaterede fejl eller fejl i forbindelse med kampagnen; (c) enhver kampagneafbrydelse, kvæstelser, tab eller skader forårsaget af begivenheder uden for sponsorens kontrol eller af ikke-autoriseret menneskelig eller anden intervention; eller (d) eventuelle tryk- eller typografiske fejl i materiale, der er forbundet med kampagnen.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Ansvarsfritagelse og erstatning</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Medmindre andre forhold i forbindelse med deltagelse i kampagnen er forbudt ved lov, accepterer kunden at erstatte, uskadeligholde samt fritage hver part for ethvert ansvar, forpligtelse, skade, krav, retssag, handling, omkostning, udgift, tab eller skade af enhver art, herunder enhver skatteforpligtelse eller tab af muligheder, hvad enten det er direkte, indirekte, særlig, tilfældig eller i følgeskab, der kan pålægges, hævdes eller pådrages af en sådan fritaget part, som opstår på baggrund af eller på nogen måde forholder sig til kampagnen og tilbudene fremsat nedenfor, herunder, men ikke begrænset til, når det opstår som følge af eller vedrører følgende: (a) alle typer af tekniske vanskeligheder eller fejlbehæftet udstyr (uanset om det er under sponsorens kontrol); (b) ethvert tyveri, uautoriseret adgang eller indblanding fra tredjepart; (c) enhver anmodning om indløsning, der er forsinket, mistet, ændret, beskadiget eller fejlsendt (uanset om de er modtaget af sponsoren, og om de er under sponsorens kontrol eller ej); (d) eventuelle skader på grund af posttjenestens drift; (e) enhver variation i produktværdien i forhold til den, der er anført i disse kampagnevilkår og -betingelser; (f) ethver skatteforpligtelse, som deltager pådrager sig; eller (g) brug eller misbrug af de produkter, der tilbydes under kampagnen.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Diverse</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Kampagnen og disse vilkår og betingelser vil blive reguleret, forstået og fortolket i henhold til lovene i det område, hvor Sponsor er registreret, uden at anvende nogen konflikter eller lovvalgsbestemmelser i henhold til en sådan lov, der kan henvise forståelsen eller fortolkningen af et vilkårligt udtryk heri til lovene i enhver anden jurisdiktion. Enhver sag, der anlægges vedrørende kampagnen og disse vilkår og betingelser, må kun anlægges ved de statslige eller føderale domstole i det område, hvor sponsoren er registreret, og hver part i en sådan sag giver udtrykkeligt samtykke til disse domstoles jurisdiktion. Såfremt en bestemmelse i disse vilkår og betingelser anses for at være ulovlig eller ikke kan håndhæves i en retssag, skal denne bestemmelse udsondres og ikke tages i betragtning. Forudsat at de grundlæggende vilkår og betingelser i disse vilkår og betingelser forbliver lovlige og kan håndhæves, skal den resterende del af disse vilkår og betingelser stadig tages i betragtning og være bindende.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Kunden er bundet af disse vilkår og betingelser samt af sponsorens afgørelser, som er endelige og bindende i alle henseender. Sponsoren forbeholder sig ret til på et hvilket som helst tidspunkt, at ændre disse vilkår og betingelser efter egne og ubegrænsede skønsbeføjelser i det omfang at loven tillader det, samt til at suspendere eller stoppe kampagnen eller enhver kundes deltagelse i kampagnen, såfremt computervirus, uautoriseret menneskelig indgriben eller andre årsager uden for sponsorens kontrol påvirker administrationen, sikkerheden eller gennemførelsen af kampagnen, eller at sponsoren ikke (som fastsat efter egne og ubegrænsede skønsbeføjelser) er i stand til at gennemføre kampagnen som planlagt, eller af en anden grund fastsat af sponsoren som værende passende i henhold til egne og ubegrænsede skønsbeføjelser.</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Disse vilkår og betingelser udgør hele aftalen og regulerer kampagnen samt binding af kunden, og ingen anden aftale, mundtlig eller på anden måde, er bindende for kampagnen, medmindre den er skriftlig og underskrevet af sponsoren. I tilfælde af tvist eller uoverensstemmelse mellem andre dokumenter, der vedrører kampagnen og disse vilkår og betingelser, skal disse vilkår og betingelser være gældende. Som fastsat i lovgivningen, vil </w:t>
      </w:r>
      <w:r>
        <w:rPr>
          <w:rFonts w:ascii="Times New Roman" w:hAnsi="Times New Roman"/>
          <w:sz w:val="20"/>
          <w:szCs w:val="20"/>
        </w:rPr>
        <w:lastRenderedPageBreak/>
        <w:t xml:space="preserve">der i videst muligt omfang ikke blive givet afkald på nogen bestemmelse i disse vilkår og betingelser når det drejer sig om handel mellem kunden og sponsoren. Det samme grundlag er udgangspunktet når det gælder manglende overholdelse fra kundens eller sponsorens side i forbindelse med ved enhver lejlighed, eller ved en række lejligheder, at hævde sine rettigheder som angivet nedenfor.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Enhver kunde, der overtræder disse vilkår og betingelser, eller overtræder enhver lov, regel eller forskrift i forbindelse med deltagelse i kampagnen, manipulerer kampagnedriften eller udviser en adfærd, der er skadelig eller urimelig for sponsoren, kampagnen eller enhver anden deltager (i begge tilfælde som fastsat efter egne og ubegrænsede skønsbeføjelser) er underlagt diskvalifikation fra deltagelse i kampagnen og alle andre rettigheder og procedurer, der er tilgængelige i henhold til loven.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Sponsorens brug af kundens personoplysninger, som denne leverer til sponsoren, er underlagt sponsorens politik om beskyttelse af privatlivets fred (tilgængelig på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If Såfremt du har spørgsmål til disse vilkår og betingelser eller kampagnen, bedes du e-maile dem til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eller sende skriftlige spørgsmål til den nedenfor angivne adresse.</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Sponsorens adresseoplysninger</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Holland.</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Meddelelser om copyright og varemærker</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Kampagnen og alt medfølgende materiale er ophavsretligt beskyttet © 2020 af Fluke Corporation </w:t>
      </w:r>
      <w:bookmarkStart w:id="2" w:name="_Hlk51075229"/>
      <w:r>
        <w:rPr>
          <w:rFonts w:ascii="Times New Roman" w:hAnsi="Times New Roman"/>
          <w:sz w:val="20"/>
          <w:szCs w:val="20"/>
        </w:rPr>
        <w:t>og deres tilknyttede juridiske enheder</w:t>
      </w:r>
      <w:bookmarkEnd w:id="2"/>
      <w:r>
        <w:t>.</w:t>
      </w:r>
      <w:r>
        <w:rPr>
          <w:rFonts w:ascii="Times New Roman" w:hAnsi="Times New Roman"/>
          <w:sz w:val="20"/>
          <w:szCs w:val="20"/>
        </w:rPr>
        <w:t xml:space="preserve"> Alle rettigheder forbeholdes. FLUKE er et registreret varemærke tilhørende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8E5133"/>
    <w:rsid w:val="009A10B2"/>
    <w:rsid w:val="00A23A3B"/>
    <w:rsid w:val="00A4257D"/>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dk/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dk/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dk/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